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DD" w:rsidRPr="000E084F" w:rsidRDefault="008237DD" w:rsidP="008237DD">
      <w:pPr>
        <w:shd w:val="clear" w:color="auto" w:fill="FFFFFF"/>
        <w:spacing w:line="540" w:lineRule="atLeast"/>
        <w:rPr>
          <w:rFonts w:ascii="仿宋" w:eastAsia="仿宋" w:hAnsi="仿宋" w:cs="Times New Roman"/>
          <w:color w:val="000000"/>
          <w:sz w:val="24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附件2</w:t>
      </w:r>
    </w:p>
    <w:p w:rsidR="008237DD" w:rsidRPr="00263DC5" w:rsidRDefault="008237DD" w:rsidP="008237DD">
      <w:pPr>
        <w:shd w:val="clear" w:color="auto" w:fill="FFFFFF"/>
        <w:spacing w:line="540" w:lineRule="atLeast"/>
        <w:ind w:firstLineChars="200" w:firstLine="480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263DC5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 </w:t>
      </w:r>
    </w:p>
    <w:p w:rsidR="008237DD" w:rsidRPr="00263DC5" w:rsidRDefault="008237DD" w:rsidP="008237DD">
      <w:pPr>
        <w:shd w:val="clear" w:color="auto" w:fill="FFFFFF"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24"/>
          <w:szCs w:val="24"/>
        </w:rPr>
      </w:pPr>
      <w:bookmarkStart w:id="0" w:name="_GoBack"/>
      <w:r w:rsidRPr="00263DC5">
        <w:rPr>
          <w:rFonts w:ascii="方正小标宋_GBK" w:eastAsia="方正小标宋_GBK" w:hAnsi="Times New Roman" w:cs="Times New Roman" w:hint="eastAsia"/>
          <w:color w:val="000000"/>
          <w:sz w:val="42"/>
          <w:szCs w:val="42"/>
        </w:rPr>
        <w:t>重庆市机关事业单位养老保险</w:t>
      </w:r>
    </w:p>
    <w:p w:rsidR="008237DD" w:rsidRPr="00263DC5" w:rsidRDefault="008237DD" w:rsidP="008237DD">
      <w:pPr>
        <w:shd w:val="clear" w:color="auto" w:fill="FFFFFF"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sz w:val="24"/>
          <w:szCs w:val="24"/>
        </w:rPr>
      </w:pPr>
      <w:r w:rsidRPr="00263DC5">
        <w:rPr>
          <w:rFonts w:ascii="方正小标宋_GBK" w:eastAsia="方正小标宋_GBK" w:hAnsi="Times New Roman" w:cs="Times New Roman" w:hint="eastAsia"/>
          <w:color w:val="000000"/>
          <w:sz w:val="42"/>
          <w:szCs w:val="42"/>
        </w:rPr>
        <w:t>“中人”过渡办法</w:t>
      </w:r>
    </w:p>
    <w:bookmarkEnd w:id="0"/>
    <w:p w:rsidR="008237DD" w:rsidRPr="00263DC5" w:rsidRDefault="008237DD" w:rsidP="008237DD">
      <w:pPr>
        <w:shd w:val="clear" w:color="auto" w:fill="FFFFFF"/>
        <w:spacing w:line="540" w:lineRule="atLeast"/>
        <w:ind w:firstLineChars="200" w:firstLine="480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 w:rsidRPr="00263DC5">
        <w:rPr>
          <w:rFonts w:ascii="Times New Roman" w:eastAsia="仿宋_GB2312" w:hAnsi="Times New Roman" w:cs="Times New Roman" w:hint="eastAsia"/>
          <w:color w:val="000000"/>
          <w:sz w:val="24"/>
          <w:szCs w:val="24"/>
        </w:rPr>
        <w:t> 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对本办法实施前参加工作、实施后退休的人员，</w:t>
      </w:r>
      <w:proofErr w:type="gram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即机关</w:t>
      </w:r>
      <w:proofErr w:type="gram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事业单位养老保险“中人”设立10年过渡期，过渡期内实行新老待遇计发办法对比，保低限高。即：新办法（</w:t>
      </w:r>
      <w:proofErr w:type="gram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含职业</w:t>
      </w:r>
      <w:proofErr w:type="gram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年金待遇）计发待遇低于老办法待遇标准的，按老办法待遇标准发放，保持待遇</w:t>
      </w:r>
      <w:r w:rsidRPr="000E084F">
        <w:rPr>
          <w:rFonts w:ascii="仿宋" w:eastAsia="仿宋" w:hAnsi="仿宋" w:cs="Times New Roman" w:hint="eastAsia"/>
          <w:color w:val="000000"/>
          <w:spacing w:val="-4"/>
          <w:sz w:val="32"/>
          <w:szCs w:val="24"/>
        </w:rPr>
        <w:t>不降低；高于老办法待遇标准的，超出的部分，第一年退休的（2014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年10月1日至2015年12月31日）发放超出部分的10%，第二年退休的（2016年1月1日至2016年12月31日）发放20%，以此类推，到过渡期末年退休的（2024年1月1日至2024年9月30日）发放超出部分的100%。过渡期结束后退休的工作人员执行新办法。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其中：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1．老办法待遇计算标准=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A：2014年9月工作人员本人的基本工资标准；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B：2014年9月工作人员本人的职务职级（技术职称）等对应的退休补贴标准；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C：</w:t>
      </w:r>
      <w:r w:rsidRPr="000E084F">
        <w:rPr>
          <w:rFonts w:ascii="仿宋" w:eastAsia="仿宋" w:hAnsi="仿宋" w:cs="Times New Roman" w:hint="eastAsia"/>
          <w:color w:val="000000"/>
          <w:spacing w:val="-4"/>
          <w:sz w:val="32"/>
          <w:szCs w:val="24"/>
        </w:rPr>
        <w:t>按照国办发〔2015〕3号文件规定相应增加的退休费标准；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lastRenderedPageBreak/>
        <w:t>M：工作人员退休时工作年限对应的老办法计发比例；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G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：参考第n-1年在岗职工工资增长等因素确定的工资增长率，n∈[2015，N]，且G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=0；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N：过渡期内退休人员的退休年度，N∈[2015，2024]。2014年10月1日至2014年12月31日期间退休的，其退休年度视同为2015年。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2．新办法待遇计发标准=基本养老金+职业年金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（1）基本养老金=基础养老金+过渡性养老金+个人账户养老金。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①基础养老金=退休时全市上年度在岗职工月平均工资×（1+本人平均缴费工资指数）÷2×缴费年限（含视同缴费年限，下同）×1%。其中，本人平均缴费工资指数=（视同缴费指数×视同缴费年限+实际平均缴费指数×实际缴费年限）÷累计缴费年限。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工作人员退休时的视同缴费指数，根据全市统一确定的视同缴费指数表，按照本人退休时的职务职级（技术职称）等对应的视同缴费指数予以确定。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实际平均缴费指数=（</w:t>
      </w:r>
      <w:proofErr w:type="spell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</w:t>
      </w:r>
      <w:proofErr w:type="spell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+X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n-2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+…+X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2016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2015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+ 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2015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+X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/C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2013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）/N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实缴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proofErr w:type="spell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</w:t>
      </w:r>
      <w:proofErr w:type="spell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、…X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2014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为参保人员退休当年至2014年相应年度本人各月缴费工资基数之和，</w:t>
      </w:r>
      <w:proofErr w:type="spell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</w:t>
      </w:r>
      <w:proofErr w:type="spell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n-1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、…C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2013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为参保人员退休上一年至2013年相应年度全市在岗职工平均工资；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lastRenderedPageBreak/>
        <w:t>N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  <w:vertAlign w:val="subscript"/>
        </w:rPr>
        <w:t>实缴</w:t>
      </w: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为参保人</w:t>
      </w:r>
      <w:proofErr w:type="gramStart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员实际</w:t>
      </w:r>
      <w:proofErr w:type="gramEnd"/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缴纳养老保险费年限。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②过渡性养老金=退休时全市上年度在岗职工月平均工资×本人视同缴费指数×视同缴费年限×过渡系数。其中，过渡系数与企业职工基本养老保险过渡系数一致，为1.4%。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③个人账户养老金=退休时本人基本养老保险个人账户累计储存额÷计发月数。</w:t>
      </w:r>
    </w:p>
    <w:p w:rsidR="008237DD" w:rsidRPr="000E084F" w:rsidRDefault="008237DD" w:rsidP="008237DD">
      <w:pPr>
        <w:shd w:val="clear" w:color="auto" w:fill="FFFFFF"/>
        <w:spacing w:line="540" w:lineRule="atLeast"/>
        <w:ind w:firstLineChars="200" w:firstLine="640"/>
        <w:rPr>
          <w:rFonts w:ascii="仿宋" w:eastAsia="仿宋" w:hAnsi="仿宋" w:cs="Times New Roman"/>
          <w:color w:val="000000"/>
          <w:sz w:val="32"/>
          <w:szCs w:val="24"/>
        </w:rPr>
      </w:pPr>
      <w:r w:rsidRPr="000E084F">
        <w:rPr>
          <w:rFonts w:ascii="仿宋" w:eastAsia="仿宋" w:hAnsi="仿宋" w:cs="Times New Roman" w:hint="eastAsia"/>
          <w:color w:val="000000"/>
          <w:sz w:val="32"/>
          <w:szCs w:val="24"/>
        </w:rPr>
        <w:t>（2）职业年金=职业年金个人账户储存额÷计发月数。</w:t>
      </w:r>
    </w:p>
    <w:p w:rsidR="00916C2F" w:rsidRPr="008237DD" w:rsidRDefault="00916C2F"/>
    <w:sectPr w:rsidR="00916C2F" w:rsidRPr="00823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DD"/>
    <w:rsid w:val="008237DD"/>
    <w:rsid w:val="0091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963</Characters>
  <Application>Microsoft Office Word</Application>
  <DocSecurity>0</DocSecurity>
  <Lines>8</Lines>
  <Paragraphs>2</Paragraphs>
  <ScaleCrop>false</ScaleCrop>
  <Company>中国微软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2018-11-22T08:21:00Z</dcterms:created>
  <dcterms:modified xsi:type="dcterms:W3CDTF">2018-11-22T08:22:00Z</dcterms:modified>
</cp:coreProperties>
</file>