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1F4" w:rsidRPr="000E084F" w:rsidRDefault="004851F4" w:rsidP="004851F4">
      <w:pPr>
        <w:shd w:val="clear" w:color="auto" w:fill="FFFFFF"/>
        <w:spacing w:line="540" w:lineRule="atLeast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附件1</w:t>
      </w:r>
    </w:p>
    <w:p w:rsidR="004851F4" w:rsidRPr="00263DC5" w:rsidRDefault="004851F4" w:rsidP="004851F4">
      <w:pPr>
        <w:shd w:val="clear" w:color="auto" w:fill="FFFFFF"/>
        <w:spacing w:line="540" w:lineRule="atLeast"/>
        <w:rPr>
          <w:rFonts w:ascii="方正小标宋_GBK" w:eastAsia="方正小标宋_GBK" w:hAnsi="Times New Roman" w:cs="Times New Roman"/>
          <w:color w:val="000000"/>
          <w:sz w:val="24"/>
          <w:szCs w:val="24"/>
        </w:rPr>
      </w:pPr>
      <w:r w:rsidRPr="00263DC5"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 </w:t>
      </w:r>
    </w:p>
    <w:p w:rsidR="004851F4" w:rsidRPr="00263DC5" w:rsidRDefault="004851F4" w:rsidP="004851F4">
      <w:pPr>
        <w:shd w:val="clear" w:color="auto" w:fill="FFFFFF"/>
        <w:spacing w:line="600" w:lineRule="exact"/>
        <w:jc w:val="center"/>
        <w:rPr>
          <w:rFonts w:ascii="方正小标宋_GBK" w:eastAsia="方正小标宋_GBK" w:hAnsi="Times New Roman" w:cs="Times New Roman"/>
          <w:color w:val="000000"/>
          <w:sz w:val="24"/>
          <w:szCs w:val="24"/>
        </w:rPr>
      </w:pPr>
      <w:bookmarkStart w:id="0" w:name="_GoBack"/>
      <w:r w:rsidRPr="00263DC5">
        <w:rPr>
          <w:rFonts w:ascii="方正小标宋_GBK" w:eastAsia="方正小标宋_GBK" w:hAnsi="Times New Roman" w:cs="Times New Roman" w:hint="eastAsia"/>
          <w:color w:val="000000"/>
          <w:sz w:val="42"/>
          <w:szCs w:val="42"/>
        </w:rPr>
        <w:t>重庆市机关事业单位工作人员</w:t>
      </w:r>
    </w:p>
    <w:p w:rsidR="004851F4" w:rsidRPr="00263DC5" w:rsidRDefault="004851F4" w:rsidP="004851F4">
      <w:pPr>
        <w:shd w:val="clear" w:color="auto" w:fill="FFFFFF"/>
        <w:spacing w:line="600" w:lineRule="exact"/>
        <w:jc w:val="center"/>
        <w:rPr>
          <w:rFonts w:ascii="方正小标宋_GBK" w:eastAsia="方正小标宋_GBK" w:hAnsi="Times New Roman" w:cs="Times New Roman"/>
          <w:color w:val="000000"/>
          <w:sz w:val="24"/>
          <w:szCs w:val="24"/>
        </w:rPr>
      </w:pPr>
      <w:r w:rsidRPr="00263DC5">
        <w:rPr>
          <w:rFonts w:ascii="方正小标宋_GBK" w:eastAsia="方正小标宋_GBK" w:hAnsi="Times New Roman" w:cs="Times New Roman" w:hint="eastAsia"/>
          <w:color w:val="000000"/>
          <w:sz w:val="42"/>
          <w:szCs w:val="42"/>
        </w:rPr>
        <w:t>基本养老金计发办法</w:t>
      </w:r>
    </w:p>
    <w:bookmarkEnd w:id="0"/>
    <w:p w:rsidR="004851F4" w:rsidRPr="00263DC5" w:rsidRDefault="004851F4" w:rsidP="004851F4">
      <w:pPr>
        <w:shd w:val="clear" w:color="auto" w:fill="FFFFFF"/>
        <w:spacing w:line="540" w:lineRule="atLeast"/>
        <w:ind w:firstLineChars="200" w:firstLine="480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 w:rsidRPr="00263DC5"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 </w:t>
      </w:r>
    </w:p>
    <w:p w:rsidR="004851F4" w:rsidRPr="000E084F" w:rsidRDefault="004851F4" w:rsidP="004851F4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一、本办法实施后参加工作的人员，退休时基本养老金由基础养老金和个人账户养老金两部分组成，计算公式为：</w:t>
      </w:r>
    </w:p>
    <w:p w:rsidR="004851F4" w:rsidRPr="000E084F" w:rsidRDefault="004851F4" w:rsidP="004851F4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基本养老金=基础养老金+个人账户养老金</w:t>
      </w:r>
    </w:p>
    <w:p w:rsidR="004851F4" w:rsidRPr="000E084F" w:rsidRDefault="004851F4" w:rsidP="004851F4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公式中：</w:t>
      </w:r>
    </w:p>
    <w:p w:rsidR="004851F4" w:rsidRPr="000E084F" w:rsidRDefault="004851F4" w:rsidP="004851F4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1．基础养老金=退休时全市上年度在岗职工月平均工资×（1+本人实际平均缴费工资指数）÷2×缴费年限×1%</w:t>
      </w:r>
    </w:p>
    <w:p w:rsidR="004851F4" w:rsidRPr="000E084F" w:rsidRDefault="004851F4" w:rsidP="004851F4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其中：本人实际平均缴费工资指数=（</w:t>
      </w:r>
      <w:proofErr w:type="spellStart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X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n</w:t>
      </w:r>
      <w:proofErr w:type="spellEnd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/C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n-1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+X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n-1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/C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n-2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+…X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2016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/C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2015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+X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2015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/C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2014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+X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2014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/C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2013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）/N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实缴</w:t>
      </w:r>
    </w:p>
    <w:p w:rsidR="004851F4" w:rsidRPr="000E084F" w:rsidRDefault="004851F4" w:rsidP="004851F4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proofErr w:type="spellStart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X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n</w:t>
      </w:r>
      <w:proofErr w:type="spellEnd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、X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n-1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、… X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2014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为参保人员退休当年至2014年相应年度本人各月缴费工资基数之和；</w:t>
      </w:r>
      <w:proofErr w:type="spellStart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C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n</w:t>
      </w:r>
      <w:proofErr w:type="spellEnd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、C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n-1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、…C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2013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为参保人员退休上一年至2013年相应年度全市在岗职工平均工资；</w:t>
      </w:r>
    </w:p>
    <w:p w:rsidR="004851F4" w:rsidRPr="000E084F" w:rsidRDefault="004851F4" w:rsidP="004851F4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N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实缴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为参保人</w:t>
      </w:r>
      <w:proofErr w:type="gramStart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员实际</w:t>
      </w:r>
      <w:proofErr w:type="gramEnd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缴纳养老保险费年限。</w:t>
      </w:r>
    </w:p>
    <w:p w:rsidR="004851F4" w:rsidRPr="000E084F" w:rsidRDefault="004851F4" w:rsidP="004851F4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2．个人账户养老金=退休时本人基本养老保险个人账户累计储存额÷计发月数。其中，计发月数详见《个人账户养老金计发月数表》（附件3）。</w:t>
      </w:r>
    </w:p>
    <w:p w:rsidR="004851F4" w:rsidRPr="000E084F" w:rsidRDefault="004851F4" w:rsidP="004851F4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二、本办法实施前参加工作、实施后退休的人员，</w:t>
      </w:r>
      <w:proofErr w:type="gramStart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即机关</w:t>
      </w:r>
      <w:proofErr w:type="gramEnd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事业单位养老保险“中人”，退休时基本养老金由基础养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lastRenderedPageBreak/>
        <w:t>老金、个人账户养老金、过渡性养老金三部分组成，计算公式为：</w:t>
      </w:r>
    </w:p>
    <w:p w:rsidR="004851F4" w:rsidRPr="000E084F" w:rsidRDefault="004851F4" w:rsidP="004851F4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基本养老金=基础养老金+过渡性养老金+个人账户养老金。</w:t>
      </w:r>
    </w:p>
    <w:p w:rsidR="004851F4" w:rsidRPr="000E084F" w:rsidRDefault="004851F4" w:rsidP="004851F4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公式中：</w:t>
      </w:r>
    </w:p>
    <w:p w:rsidR="004851F4" w:rsidRPr="000E084F" w:rsidRDefault="004851F4" w:rsidP="004851F4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1．基础养老金=退休时全市上年度在岗职工月平均工资×（1+本人平均缴费工资指数）÷2×缴费年限（含视同缴费年限，下同）×1%。其中，本人平均缴费工资指数=（视同缴费指数×视同缴费年限+实际平均缴费指数×实际缴费年限）÷累计缴费年限。</w:t>
      </w:r>
    </w:p>
    <w:p w:rsidR="004851F4" w:rsidRPr="000E084F" w:rsidRDefault="004851F4" w:rsidP="004851F4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工作人员退休时的视同缴费指数，根据全市统一确定的视同缴费指数表，按照本人退休时的职务职级（技术职称）等对应的视同缴费指数予以确定。</w:t>
      </w:r>
    </w:p>
    <w:p w:rsidR="004851F4" w:rsidRPr="000E084F" w:rsidRDefault="004851F4" w:rsidP="004851F4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实</w:t>
      </w:r>
      <w:r w:rsidRPr="000E084F">
        <w:rPr>
          <w:rFonts w:ascii="仿宋" w:eastAsia="仿宋" w:hAnsi="仿宋" w:cs="Times New Roman" w:hint="eastAsia"/>
          <w:color w:val="000000"/>
          <w:spacing w:val="-6"/>
          <w:sz w:val="32"/>
          <w:szCs w:val="24"/>
        </w:rPr>
        <w:t>际平均缴费指数=（</w:t>
      </w:r>
      <w:proofErr w:type="spellStart"/>
      <w:r w:rsidRPr="000E084F">
        <w:rPr>
          <w:rFonts w:ascii="仿宋" w:eastAsia="仿宋" w:hAnsi="仿宋" w:cs="Times New Roman" w:hint="eastAsia"/>
          <w:color w:val="000000"/>
          <w:spacing w:val="-6"/>
          <w:sz w:val="32"/>
          <w:szCs w:val="24"/>
        </w:rPr>
        <w:t>X</w:t>
      </w:r>
      <w:r w:rsidRPr="000E084F">
        <w:rPr>
          <w:rFonts w:ascii="仿宋" w:eastAsia="仿宋" w:hAnsi="仿宋" w:cs="Times New Roman" w:hint="eastAsia"/>
          <w:color w:val="000000"/>
          <w:spacing w:val="-6"/>
          <w:sz w:val="32"/>
          <w:szCs w:val="24"/>
          <w:vertAlign w:val="subscript"/>
        </w:rPr>
        <w:t>n</w:t>
      </w:r>
      <w:proofErr w:type="spellEnd"/>
      <w:r w:rsidRPr="000E084F">
        <w:rPr>
          <w:rFonts w:ascii="仿宋" w:eastAsia="仿宋" w:hAnsi="仿宋" w:cs="Times New Roman" w:hint="eastAsia"/>
          <w:color w:val="000000"/>
          <w:spacing w:val="-6"/>
          <w:sz w:val="32"/>
          <w:szCs w:val="24"/>
        </w:rPr>
        <w:t>/C</w:t>
      </w:r>
      <w:r w:rsidRPr="000E084F">
        <w:rPr>
          <w:rFonts w:ascii="仿宋" w:eastAsia="仿宋" w:hAnsi="仿宋" w:cs="Times New Roman" w:hint="eastAsia"/>
          <w:color w:val="000000"/>
          <w:spacing w:val="-6"/>
          <w:sz w:val="32"/>
          <w:szCs w:val="24"/>
          <w:vertAlign w:val="subscript"/>
        </w:rPr>
        <w:t>n-1</w:t>
      </w:r>
      <w:r w:rsidRPr="000E084F">
        <w:rPr>
          <w:rFonts w:ascii="仿宋" w:eastAsia="仿宋" w:hAnsi="仿宋" w:cs="Times New Roman" w:hint="eastAsia"/>
          <w:color w:val="000000"/>
          <w:spacing w:val="-6"/>
          <w:sz w:val="32"/>
          <w:szCs w:val="24"/>
        </w:rPr>
        <w:t>+X</w:t>
      </w:r>
      <w:r w:rsidRPr="000E084F">
        <w:rPr>
          <w:rFonts w:ascii="仿宋" w:eastAsia="仿宋" w:hAnsi="仿宋" w:cs="Times New Roman" w:hint="eastAsia"/>
          <w:color w:val="000000"/>
          <w:spacing w:val="-6"/>
          <w:sz w:val="32"/>
          <w:szCs w:val="24"/>
          <w:vertAlign w:val="subscript"/>
        </w:rPr>
        <w:t>n-1</w:t>
      </w:r>
      <w:r w:rsidRPr="000E084F">
        <w:rPr>
          <w:rFonts w:ascii="仿宋" w:eastAsia="仿宋" w:hAnsi="仿宋" w:cs="Times New Roman" w:hint="eastAsia"/>
          <w:color w:val="000000"/>
          <w:spacing w:val="-6"/>
          <w:sz w:val="32"/>
          <w:szCs w:val="24"/>
        </w:rPr>
        <w:t>/C</w:t>
      </w:r>
      <w:r w:rsidRPr="000E084F">
        <w:rPr>
          <w:rFonts w:ascii="仿宋" w:eastAsia="仿宋" w:hAnsi="仿宋" w:cs="Times New Roman" w:hint="eastAsia"/>
          <w:color w:val="000000"/>
          <w:spacing w:val="-6"/>
          <w:sz w:val="32"/>
          <w:szCs w:val="24"/>
          <w:vertAlign w:val="subscript"/>
        </w:rPr>
        <w:t>n-2</w:t>
      </w:r>
      <w:r w:rsidRPr="000E084F">
        <w:rPr>
          <w:rFonts w:ascii="仿宋" w:eastAsia="仿宋" w:hAnsi="仿宋" w:cs="Times New Roman" w:hint="eastAsia"/>
          <w:color w:val="000000"/>
          <w:spacing w:val="-6"/>
          <w:sz w:val="32"/>
          <w:szCs w:val="24"/>
        </w:rPr>
        <w:t>+…+X</w:t>
      </w:r>
      <w:r w:rsidRPr="000E084F">
        <w:rPr>
          <w:rFonts w:ascii="仿宋" w:eastAsia="仿宋" w:hAnsi="仿宋" w:cs="Times New Roman" w:hint="eastAsia"/>
          <w:color w:val="000000"/>
          <w:spacing w:val="-6"/>
          <w:sz w:val="32"/>
          <w:szCs w:val="24"/>
          <w:vertAlign w:val="subscript"/>
        </w:rPr>
        <w:t>2016</w:t>
      </w:r>
      <w:r w:rsidRPr="000E084F">
        <w:rPr>
          <w:rFonts w:ascii="仿宋" w:eastAsia="仿宋" w:hAnsi="仿宋" w:cs="Times New Roman" w:hint="eastAsia"/>
          <w:color w:val="000000"/>
          <w:spacing w:val="-6"/>
          <w:sz w:val="32"/>
          <w:szCs w:val="24"/>
        </w:rPr>
        <w:t>/C</w:t>
      </w:r>
      <w:r w:rsidRPr="000E084F">
        <w:rPr>
          <w:rFonts w:ascii="仿宋" w:eastAsia="仿宋" w:hAnsi="仿宋" w:cs="Times New Roman" w:hint="eastAsia"/>
          <w:color w:val="000000"/>
          <w:spacing w:val="-6"/>
          <w:sz w:val="32"/>
          <w:szCs w:val="24"/>
          <w:vertAlign w:val="subscript"/>
        </w:rPr>
        <w:t>2015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+ X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2015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/C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2014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+X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2014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/C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2013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）/N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实缴</w:t>
      </w:r>
    </w:p>
    <w:p w:rsidR="004851F4" w:rsidRPr="000E084F" w:rsidRDefault="004851F4" w:rsidP="004851F4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proofErr w:type="spellStart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X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n</w:t>
      </w:r>
      <w:proofErr w:type="spellEnd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、X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n-1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、…X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2014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为参保人员退休当年至2014年相应年度本人各月缴费工资基数之和，</w:t>
      </w:r>
      <w:proofErr w:type="spellStart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C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n</w:t>
      </w:r>
      <w:proofErr w:type="spellEnd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、C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n-1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、…C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2013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为参保人员退休上一年至2013年相应年度全市在岗职工平均工资；</w:t>
      </w:r>
    </w:p>
    <w:p w:rsidR="004851F4" w:rsidRPr="000E084F" w:rsidRDefault="004851F4" w:rsidP="004851F4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N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实缴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为参保人</w:t>
      </w:r>
      <w:proofErr w:type="gramStart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员实际</w:t>
      </w:r>
      <w:proofErr w:type="gramEnd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缴纳养老保险费年限。</w:t>
      </w:r>
    </w:p>
    <w:p w:rsidR="004851F4" w:rsidRPr="000E084F" w:rsidRDefault="004851F4" w:rsidP="004851F4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2．过渡性养老金=退休时全市上年度在岗职工月平均工资×本人视同缴费指数×视同缴费年限×过渡系数。其中，过渡系数与企业职工基本养老保险过渡系数一致，为1.4%。</w:t>
      </w:r>
    </w:p>
    <w:p w:rsidR="004851F4" w:rsidRPr="000E084F" w:rsidRDefault="004851F4" w:rsidP="004851F4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lastRenderedPageBreak/>
        <w:t>3．个人账户养老金=退休时本人基本养老保险个人账户累计储存额÷计发月数。</w:t>
      </w:r>
    </w:p>
    <w:p w:rsidR="00916C2F" w:rsidRPr="004851F4" w:rsidRDefault="00916C2F"/>
    <w:sectPr w:rsidR="00916C2F" w:rsidRPr="00485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F4"/>
    <w:rsid w:val="004851F4"/>
    <w:rsid w:val="0091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866</Characters>
  <Application>Microsoft Office Word</Application>
  <DocSecurity>0</DocSecurity>
  <Lines>7</Lines>
  <Paragraphs>2</Paragraphs>
  <ScaleCrop>false</ScaleCrop>
  <Company>中国微软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2018-11-22T08:22:00Z</dcterms:created>
  <dcterms:modified xsi:type="dcterms:W3CDTF">2018-11-22T08:22:00Z</dcterms:modified>
</cp:coreProperties>
</file>